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3987"/>
        <w:gridCol w:w="3123"/>
      </w:tblGrid>
      <w:tr w:rsidR="00E01246" w14:paraId="021179FF" w14:textId="77777777" w:rsidTr="005371F1">
        <w:trPr>
          <w:trHeight w:val="20"/>
        </w:trPr>
        <w:tc>
          <w:tcPr>
            <w:tcW w:w="9355" w:type="dxa"/>
            <w:gridSpan w:val="3"/>
            <w:shd w:val="clear" w:color="auto" w:fill="C6D9F1" w:themeFill="text2" w:themeFillTint="33"/>
          </w:tcPr>
          <w:p w14:paraId="2CDF000B" w14:textId="77777777" w:rsidR="00E01246" w:rsidRDefault="00E01246" w:rsidP="005371F1">
            <w:pPr>
              <w:pStyle w:val="TableHeading"/>
              <w:bidi/>
            </w:pPr>
            <w:r w:rsidRPr="004C34BF">
              <w:rPr>
                <w:rtl/>
                <w:lang w:eastAsia="ar"/>
              </w:rPr>
              <w:t>قائمة تدقيق لمعاينة الصيانة التنبؤية للمركبة</w:t>
            </w:r>
          </w:p>
        </w:tc>
      </w:tr>
      <w:tr w:rsidR="00E01246" w14:paraId="462FD260" w14:textId="77777777" w:rsidTr="005371F1">
        <w:trPr>
          <w:trHeight w:val="20"/>
        </w:trPr>
        <w:tc>
          <w:tcPr>
            <w:tcW w:w="9355" w:type="dxa"/>
            <w:gridSpan w:val="3"/>
          </w:tcPr>
          <w:p w14:paraId="7381D080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نوع المركبة</w:t>
            </w:r>
            <w:r>
              <w:rPr>
                <w:rFonts w:ascii="Times New Roman"/>
                <w:rtl/>
                <w:lang w:eastAsia="ar"/>
              </w:rPr>
              <w:t>:</w:t>
            </w:r>
          </w:p>
          <w:p w14:paraId="5628A66D" w14:textId="77777777" w:rsidR="00E01246" w:rsidRDefault="00E01246" w:rsidP="005371F1">
            <w:pPr>
              <w:pStyle w:val="TableText"/>
              <w:bidi/>
            </w:pPr>
          </w:p>
          <w:p w14:paraId="708591F7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رقم لوحة المركبة</w:t>
            </w:r>
            <w:r>
              <w:rPr>
                <w:rFonts w:ascii="Times New Roman"/>
                <w:rtl/>
                <w:lang w:eastAsia="ar"/>
              </w:rPr>
              <w:t>:</w:t>
            </w:r>
          </w:p>
          <w:p w14:paraId="4F3D9FEC" w14:textId="77777777" w:rsidR="00E01246" w:rsidRDefault="00E01246" w:rsidP="005371F1">
            <w:pPr>
              <w:pStyle w:val="TableText"/>
              <w:bidi/>
            </w:pPr>
          </w:p>
          <w:p w14:paraId="0A2D0FDB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مشغل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قائد المركبة</w:t>
            </w:r>
            <w:r>
              <w:rPr>
                <w:rFonts w:ascii="Times New Roman"/>
                <w:rtl/>
                <w:lang w:eastAsia="ar"/>
              </w:rPr>
              <w:t>:</w:t>
            </w:r>
          </w:p>
          <w:p w14:paraId="7DC60658" w14:textId="77777777" w:rsidR="00E01246" w:rsidRDefault="00E01246" w:rsidP="005371F1">
            <w:pPr>
              <w:pStyle w:val="TableText"/>
              <w:bidi/>
            </w:pPr>
          </w:p>
          <w:p w14:paraId="30EE4A3E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التاريخ</w:t>
            </w:r>
            <w:r>
              <w:rPr>
                <w:rFonts w:ascii="Times New Roman"/>
                <w:rtl/>
                <w:lang w:eastAsia="ar"/>
              </w:rPr>
              <w:t>:</w:t>
            </w:r>
          </w:p>
          <w:p w14:paraId="40A2F222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0150945E" w14:textId="77777777" w:rsidTr="005371F1">
        <w:trPr>
          <w:trHeight w:val="20"/>
        </w:trPr>
        <w:tc>
          <w:tcPr>
            <w:tcW w:w="2245" w:type="dxa"/>
            <w:shd w:val="clear" w:color="auto" w:fill="BAC6CA"/>
          </w:tcPr>
          <w:p w14:paraId="33A6866A" w14:textId="77777777" w:rsidR="00E01246" w:rsidRPr="00477F64" w:rsidRDefault="00E01246" w:rsidP="005371F1">
            <w:pPr>
              <w:pStyle w:val="TableHeading"/>
              <w:bidi/>
            </w:pPr>
            <w:r w:rsidRPr="00477F64">
              <w:rPr>
                <w:rtl/>
                <w:lang w:eastAsia="ar"/>
              </w:rPr>
              <w:t>البند</w:t>
            </w:r>
          </w:p>
        </w:tc>
        <w:tc>
          <w:tcPr>
            <w:tcW w:w="3987" w:type="dxa"/>
            <w:shd w:val="clear" w:color="auto" w:fill="BAC6CA"/>
          </w:tcPr>
          <w:p w14:paraId="167F6CAC" w14:textId="77777777" w:rsidR="00E01246" w:rsidRPr="00477F64" w:rsidRDefault="00E01246" w:rsidP="005371F1">
            <w:pPr>
              <w:pStyle w:val="TableHeading"/>
              <w:bidi/>
            </w:pPr>
            <w:r w:rsidRPr="00477F64">
              <w:rPr>
                <w:rtl/>
                <w:lang w:eastAsia="ar"/>
              </w:rPr>
              <w:t>التحقق</w:t>
            </w:r>
          </w:p>
        </w:tc>
        <w:tc>
          <w:tcPr>
            <w:tcW w:w="3123" w:type="dxa"/>
            <w:shd w:val="clear" w:color="auto" w:fill="BAC6CA"/>
          </w:tcPr>
          <w:p w14:paraId="3178C5FF" w14:textId="77777777" w:rsidR="00E01246" w:rsidRPr="00477F64" w:rsidRDefault="00E01246" w:rsidP="005371F1">
            <w:pPr>
              <w:pStyle w:val="TableHeading"/>
              <w:bidi/>
            </w:pPr>
            <w:r w:rsidRPr="00477F64">
              <w:rPr>
                <w:rtl/>
                <w:lang w:eastAsia="ar"/>
              </w:rPr>
              <w:t>الملاحظات</w:t>
            </w:r>
          </w:p>
        </w:tc>
      </w:tr>
      <w:tr w:rsidR="00E01246" w14:paraId="7A263BE8" w14:textId="77777777" w:rsidTr="005371F1">
        <w:trPr>
          <w:trHeight w:val="20"/>
        </w:trPr>
        <w:tc>
          <w:tcPr>
            <w:tcW w:w="2245" w:type="dxa"/>
          </w:tcPr>
          <w:p w14:paraId="0B588DA1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نقاط عامة</w:t>
            </w:r>
          </w:p>
        </w:tc>
        <w:tc>
          <w:tcPr>
            <w:tcW w:w="3987" w:type="dxa"/>
          </w:tcPr>
          <w:p w14:paraId="5F3E04CC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أن العدادات ومصابيح التحذير تعمل جميعًا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المقعد مثبت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المرايا، والزجاج الأمامي، والمساحات، وغسيل الزجاج الأمامي، والبوق، والأبواب، والأقفال، والأدوات والرافعة</w:t>
            </w:r>
          </w:p>
        </w:tc>
        <w:tc>
          <w:tcPr>
            <w:tcW w:w="3123" w:type="dxa"/>
          </w:tcPr>
          <w:p w14:paraId="694AEB00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66D01F3E" w14:textId="77777777" w:rsidTr="005371F1">
        <w:trPr>
          <w:trHeight w:val="20"/>
        </w:trPr>
        <w:tc>
          <w:tcPr>
            <w:tcW w:w="2245" w:type="dxa"/>
          </w:tcPr>
          <w:p w14:paraId="27D53C7A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المكابح</w:t>
            </w:r>
          </w:p>
        </w:tc>
        <w:tc>
          <w:tcPr>
            <w:tcW w:w="3987" w:type="dxa"/>
          </w:tcPr>
          <w:p w14:paraId="3A7DDE46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وظيفتها، ودواسة القدم، والمكابح اليدوية، وذراع المقود، وتعديلها، والتشغيل الصاخب</w:t>
            </w:r>
          </w:p>
        </w:tc>
        <w:tc>
          <w:tcPr>
            <w:tcW w:w="3123" w:type="dxa"/>
          </w:tcPr>
          <w:p w14:paraId="09C507FD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2DBE7982" w14:textId="77777777" w:rsidTr="005371F1">
        <w:trPr>
          <w:trHeight w:val="20"/>
        </w:trPr>
        <w:tc>
          <w:tcPr>
            <w:tcW w:w="2245" w:type="dxa"/>
          </w:tcPr>
          <w:p w14:paraId="594B7F6A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نظام التوجيه</w:t>
            </w:r>
          </w:p>
        </w:tc>
        <w:tc>
          <w:tcPr>
            <w:tcW w:w="3987" w:type="dxa"/>
          </w:tcPr>
          <w:p w14:paraId="4063E2F2" w14:textId="77777777" w:rsidR="00E01246" w:rsidRDefault="00E01246" w:rsidP="005371F1">
            <w:pPr>
              <w:bidi/>
            </w:pPr>
            <w:r>
              <w:rPr>
                <w:rtl/>
                <w:lang w:eastAsia="ar"/>
              </w:rPr>
              <w:t>تحقق من وظيفته، الحركة الحرة للعجل، التجول، السحب، وضع المقود، سائل نظام التوجيه الكهربي</w:t>
            </w:r>
          </w:p>
        </w:tc>
        <w:tc>
          <w:tcPr>
            <w:tcW w:w="3123" w:type="dxa"/>
          </w:tcPr>
          <w:p w14:paraId="530624CC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24300F39" w14:textId="77777777" w:rsidTr="005371F1">
        <w:trPr>
          <w:trHeight w:val="20"/>
        </w:trPr>
        <w:tc>
          <w:tcPr>
            <w:tcW w:w="2245" w:type="dxa"/>
          </w:tcPr>
          <w:p w14:paraId="7F482A11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المصابيح</w:t>
            </w:r>
          </w:p>
        </w:tc>
        <w:tc>
          <w:tcPr>
            <w:tcW w:w="3987" w:type="dxa"/>
          </w:tcPr>
          <w:p w14:paraId="0E82D713" w14:textId="77777777" w:rsidR="00E01246" w:rsidRDefault="00E01246" w:rsidP="005371F1">
            <w:pPr>
              <w:pStyle w:val="TableText"/>
              <w:bidi/>
            </w:pPr>
            <w:r>
              <w:rPr>
                <w:noProof/>
                <w:rtl/>
                <w:lang w:eastAsia="ar"/>
              </w:rPr>
              <w:t xml:space="preserve">تحقق من وظيفة المصابيح الأمامية </w:t>
            </w:r>
            <w:r>
              <w:rPr>
                <w:rFonts w:ascii="Times New Roman"/>
                <w:noProof/>
                <w:rtl/>
                <w:lang w:eastAsia="ar"/>
              </w:rPr>
              <w:t>(</w:t>
            </w:r>
            <w:r>
              <w:rPr>
                <w:noProof/>
                <w:rtl/>
                <w:lang w:eastAsia="ar"/>
              </w:rPr>
              <w:t>الخافت</w:t>
            </w:r>
            <w:r>
              <w:rPr>
                <w:rFonts w:ascii="Times New Roman"/>
                <w:noProof/>
                <w:rtl/>
                <w:lang w:eastAsia="ar"/>
              </w:rPr>
              <w:t>/</w:t>
            </w:r>
            <w:r>
              <w:rPr>
                <w:noProof/>
                <w:rtl/>
                <w:lang w:eastAsia="ar"/>
              </w:rPr>
              <w:t>الأساسي</w:t>
            </w:r>
            <w:r>
              <w:rPr>
                <w:rFonts w:ascii="Times New Roman"/>
                <w:noProof/>
                <w:rtl/>
                <w:lang w:eastAsia="ar"/>
              </w:rPr>
              <w:t>)</w:t>
            </w:r>
            <w:r>
              <w:rPr>
                <w:noProof/>
                <w:rtl/>
                <w:lang w:eastAsia="ar"/>
              </w:rPr>
              <w:t>، والخلفية، والمكابح، ولوحة الأرقام، والإشارات وحالة العواكس</w:t>
            </w:r>
          </w:p>
        </w:tc>
        <w:tc>
          <w:tcPr>
            <w:tcW w:w="3123" w:type="dxa"/>
          </w:tcPr>
          <w:p w14:paraId="4C81A1FC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707A548A" w14:textId="77777777" w:rsidTr="005371F1">
        <w:trPr>
          <w:trHeight w:val="20"/>
        </w:trPr>
        <w:tc>
          <w:tcPr>
            <w:tcW w:w="2245" w:type="dxa"/>
          </w:tcPr>
          <w:p w14:paraId="62C4CCE8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المحرك</w:t>
            </w:r>
          </w:p>
        </w:tc>
        <w:tc>
          <w:tcPr>
            <w:tcW w:w="3987" w:type="dxa"/>
          </w:tcPr>
          <w:p w14:paraId="32F5B9E6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مستويات الزيت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سائل المبرد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المكابح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القابض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مخزون غاسلة الزجاج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التسرّب أسفل المركبة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توصيلات البطارية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لون دخان العادم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ضوضاء غير معتادة</w:t>
            </w:r>
          </w:p>
        </w:tc>
        <w:tc>
          <w:tcPr>
            <w:tcW w:w="3123" w:type="dxa"/>
          </w:tcPr>
          <w:p w14:paraId="17E96953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302E8EB4" w14:textId="77777777" w:rsidTr="005371F1">
        <w:trPr>
          <w:trHeight w:val="20"/>
        </w:trPr>
        <w:tc>
          <w:tcPr>
            <w:tcW w:w="2245" w:type="dxa"/>
          </w:tcPr>
          <w:p w14:paraId="200A2599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مرافق النقل</w:t>
            </w:r>
          </w:p>
        </w:tc>
        <w:tc>
          <w:tcPr>
            <w:tcW w:w="3987" w:type="dxa"/>
          </w:tcPr>
          <w:p w14:paraId="405134FA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وظيفة القابض وتغيير الترس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الضوضاء والتعشيق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ذراع المقود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تعديل السلسلة وتشحيمها</w:t>
            </w:r>
          </w:p>
        </w:tc>
        <w:tc>
          <w:tcPr>
            <w:tcW w:w="3123" w:type="dxa"/>
          </w:tcPr>
          <w:p w14:paraId="066A1EDC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33FAC3B1" w14:textId="77777777" w:rsidTr="005371F1">
        <w:trPr>
          <w:trHeight w:val="20"/>
        </w:trPr>
        <w:tc>
          <w:tcPr>
            <w:tcW w:w="2245" w:type="dxa"/>
          </w:tcPr>
          <w:p w14:paraId="05254C63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العجلات</w:t>
            </w:r>
          </w:p>
        </w:tc>
        <w:tc>
          <w:tcPr>
            <w:tcW w:w="3987" w:type="dxa"/>
          </w:tcPr>
          <w:p w14:paraId="02F01FE6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إحكام ربط جميع مسامير العجل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عدم وجود تلف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المحاور</w:t>
            </w:r>
            <w:r>
              <w:rPr>
                <w:rFonts w:ascii="Times New Roman"/>
                <w:rtl/>
                <w:lang w:eastAsia="ar"/>
              </w:rPr>
              <w:t xml:space="preserve">. </w:t>
            </w:r>
            <w:r>
              <w:rPr>
                <w:rtl/>
                <w:lang w:eastAsia="ar"/>
              </w:rPr>
              <w:t>تشحيم المحاور</w:t>
            </w:r>
          </w:p>
        </w:tc>
        <w:tc>
          <w:tcPr>
            <w:tcW w:w="3123" w:type="dxa"/>
          </w:tcPr>
          <w:p w14:paraId="51047B4B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73EC2319" w14:textId="77777777" w:rsidTr="005371F1">
        <w:trPr>
          <w:trHeight w:val="20"/>
        </w:trPr>
        <w:tc>
          <w:tcPr>
            <w:tcW w:w="2245" w:type="dxa"/>
          </w:tcPr>
          <w:p w14:paraId="363226CE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الإطارات</w:t>
            </w:r>
          </w:p>
        </w:tc>
        <w:tc>
          <w:tcPr>
            <w:tcW w:w="3987" w:type="dxa"/>
          </w:tcPr>
          <w:p w14:paraId="3D078DF2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حالتها، مداس الإطار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تلفه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الإطار الاحتياطي</w:t>
            </w:r>
          </w:p>
        </w:tc>
        <w:tc>
          <w:tcPr>
            <w:tcW w:w="3123" w:type="dxa"/>
          </w:tcPr>
          <w:p w14:paraId="65DD3FF9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23FFF804" w14:textId="77777777" w:rsidTr="005371F1">
        <w:trPr>
          <w:trHeight w:val="20"/>
        </w:trPr>
        <w:tc>
          <w:tcPr>
            <w:tcW w:w="2245" w:type="dxa"/>
          </w:tcPr>
          <w:p w14:paraId="450B68A6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هيكل المركبة</w:t>
            </w:r>
          </w:p>
        </w:tc>
        <w:tc>
          <w:tcPr>
            <w:tcW w:w="3987" w:type="dxa"/>
          </w:tcPr>
          <w:p w14:paraId="61BA77CD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عدم وجود أي تلف مرئي، ومن إحكام ربط جميع المسامير والصواميل</w:t>
            </w:r>
          </w:p>
        </w:tc>
        <w:tc>
          <w:tcPr>
            <w:tcW w:w="3123" w:type="dxa"/>
          </w:tcPr>
          <w:p w14:paraId="4992E8F6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00D1388C" w14:textId="77777777" w:rsidTr="005371F1">
        <w:trPr>
          <w:trHeight w:val="20"/>
        </w:trPr>
        <w:tc>
          <w:tcPr>
            <w:tcW w:w="2245" w:type="dxa"/>
          </w:tcPr>
          <w:p w14:paraId="2DDA7258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الوقود</w:t>
            </w:r>
          </w:p>
        </w:tc>
        <w:tc>
          <w:tcPr>
            <w:tcW w:w="3987" w:type="dxa"/>
          </w:tcPr>
          <w:p w14:paraId="306158FC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مستوى الوقود، غطاء فتحة الخزان، وجود تلف، تسرّب</w:t>
            </w:r>
          </w:p>
        </w:tc>
        <w:tc>
          <w:tcPr>
            <w:tcW w:w="3123" w:type="dxa"/>
          </w:tcPr>
          <w:p w14:paraId="219F8C2C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14B35C1F" w14:textId="77777777" w:rsidTr="005371F1">
        <w:trPr>
          <w:trHeight w:val="20"/>
        </w:trPr>
        <w:tc>
          <w:tcPr>
            <w:tcW w:w="2245" w:type="dxa"/>
          </w:tcPr>
          <w:p w14:paraId="75730E0D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نظام التعليق</w:t>
            </w:r>
          </w:p>
        </w:tc>
        <w:tc>
          <w:tcPr>
            <w:tcW w:w="3987" w:type="dxa"/>
          </w:tcPr>
          <w:p w14:paraId="59EEF598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حالة الزنبرك، سلوك المركبة، جهاز امتصاص الصدمات، التسرّب</w:t>
            </w:r>
          </w:p>
        </w:tc>
        <w:tc>
          <w:tcPr>
            <w:tcW w:w="3123" w:type="dxa"/>
          </w:tcPr>
          <w:p w14:paraId="3F50AAC0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758D5209" w14:textId="77777777" w:rsidTr="005371F1">
        <w:trPr>
          <w:trHeight w:val="20"/>
        </w:trPr>
        <w:tc>
          <w:tcPr>
            <w:tcW w:w="2245" w:type="dxa"/>
          </w:tcPr>
          <w:p w14:paraId="3FE1D8F8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البنود التشريعية</w:t>
            </w:r>
          </w:p>
        </w:tc>
        <w:tc>
          <w:tcPr>
            <w:tcW w:w="3987" w:type="dxa"/>
          </w:tcPr>
          <w:p w14:paraId="564D756A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وثائق المركبة</w:t>
            </w:r>
            <w:r>
              <w:rPr>
                <w:rFonts w:ascii="Times New Roman"/>
                <w:rtl/>
                <w:lang w:eastAsia="ar"/>
              </w:rPr>
              <w:t xml:space="preserve">: </w:t>
            </w:r>
            <w:r>
              <w:rPr>
                <w:rtl/>
                <w:lang w:eastAsia="ar"/>
              </w:rPr>
              <w:t>السجلّ، واستمارة الصلاحية، وتفاصيل التأمين</w:t>
            </w:r>
          </w:p>
        </w:tc>
        <w:tc>
          <w:tcPr>
            <w:tcW w:w="3123" w:type="dxa"/>
          </w:tcPr>
          <w:p w14:paraId="749E3CBF" w14:textId="77777777" w:rsidR="00E01246" w:rsidRDefault="00E01246" w:rsidP="005371F1">
            <w:pPr>
              <w:pStyle w:val="TableText"/>
              <w:bidi/>
            </w:pPr>
          </w:p>
        </w:tc>
      </w:tr>
      <w:tr w:rsidR="00E01246" w14:paraId="06130F73" w14:textId="77777777" w:rsidTr="005371F1">
        <w:trPr>
          <w:trHeight w:val="20"/>
        </w:trPr>
        <w:tc>
          <w:tcPr>
            <w:tcW w:w="2245" w:type="dxa"/>
          </w:tcPr>
          <w:p w14:paraId="49911DC7" w14:textId="77777777" w:rsidR="00E01246" w:rsidRPr="00FF002E" w:rsidRDefault="00E01246" w:rsidP="005371F1">
            <w:pPr>
              <w:pStyle w:val="TableText"/>
              <w:bidi/>
            </w:pPr>
            <w:r w:rsidRPr="00FF002E">
              <w:rPr>
                <w:rtl/>
                <w:lang w:eastAsia="ar"/>
              </w:rPr>
              <w:t>السلامة</w:t>
            </w:r>
          </w:p>
        </w:tc>
        <w:tc>
          <w:tcPr>
            <w:tcW w:w="3987" w:type="dxa"/>
          </w:tcPr>
          <w:p w14:paraId="5F303488" w14:textId="77777777" w:rsidR="00E01246" w:rsidRDefault="00E01246" w:rsidP="005371F1">
            <w:pPr>
              <w:pStyle w:val="TableText"/>
              <w:bidi/>
            </w:pPr>
            <w:r>
              <w:rPr>
                <w:rtl/>
                <w:lang w:eastAsia="ar"/>
              </w:rPr>
              <w:t>تحقق من حالة أحزمة الأمان</w:t>
            </w:r>
            <w:r>
              <w:rPr>
                <w:rFonts w:ascii="Times New Roman"/>
                <w:rtl/>
                <w:lang w:eastAsia="ar"/>
              </w:rPr>
              <w:t>/</w:t>
            </w:r>
            <w:r>
              <w:rPr>
                <w:rtl/>
                <w:lang w:eastAsia="ar"/>
              </w:rPr>
              <w:t>خوذة السلامة، ومعدات السلامة الأخرى</w:t>
            </w:r>
          </w:p>
        </w:tc>
        <w:tc>
          <w:tcPr>
            <w:tcW w:w="3123" w:type="dxa"/>
          </w:tcPr>
          <w:p w14:paraId="575C2C0F" w14:textId="77777777" w:rsidR="00E01246" w:rsidRDefault="00E01246" w:rsidP="005371F1">
            <w:pPr>
              <w:pStyle w:val="TableText"/>
              <w:bidi/>
            </w:pPr>
          </w:p>
        </w:tc>
      </w:tr>
    </w:tbl>
    <w:p w14:paraId="3BF07632" w14:textId="44F77364" w:rsidR="00D9452E" w:rsidRDefault="00D9452E" w:rsidP="00E74A02">
      <w:pPr>
        <w:bidi/>
        <w:ind w:left="360"/>
      </w:pPr>
    </w:p>
    <w:sectPr w:rsid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4848" w14:textId="77777777" w:rsidR="00424C8E" w:rsidRDefault="00424C8E">
      <w:r>
        <w:separator/>
      </w:r>
    </w:p>
    <w:p w14:paraId="12BA9DFE" w14:textId="77777777" w:rsidR="00424C8E" w:rsidRDefault="00424C8E"/>
  </w:endnote>
  <w:endnote w:type="continuationSeparator" w:id="0">
    <w:p w14:paraId="24790DBA" w14:textId="77777777" w:rsidR="00424C8E" w:rsidRDefault="00424C8E">
      <w:r>
        <w:continuationSeparator/>
      </w:r>
    </w:p>
    <w:p w14:paraId="53104F3B" w14:textId="77777777" w:rsidR="00424C8E" w:rsidRDefault="0042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1491A4D5" w:rsidR="009210BF" w:rsidRDefault="00424C8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D207C">
          <w:rPr>
            <w:rFonts w:ascii="Times New Roman" w:hAnsi="Times New Roman"/>
            <w:sz w:val="16"/>
            <w:szCs w:val="16"/>
          </w:rPr>
          <w:t>EOM-ZM0-TP-000093</w:t>
        </w:r>
        <w:r w:rsidR="002A0FAB">
          <w:rPr>
            <w:rFonts w:ascii="Times New Roman" w:hAnsi="Times New Roman"/>
            <w:sz w:val="16"/>
            <w:szCs w:val="16"/>
          </w:rPr>
          <w:t>-AR</w:t>
        </w:r>
        <w:r w:rsidR="003D207C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9210BF">
      <w:rPr>
        <w:rFonts w:ascii="Times New Roman"/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9210BF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D207C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D207C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5886" w14:textId="77777777" w:rsidR="00424C8E" w:rsidRDefault="00424C8E">
      <w:r>
        <w:separator/>
      </w:r>
    </w:p>
    <w:p w14:paraId="53AAC8C5" w14:textId="77777777" w:rsidR="00424C8E" w:rsidRDefault="00424C8E"/>
  </w:footnote>
  <w:footnote w:type="continuationSeparator" w:id="0">
    <w:p w14:paraId="463C85B5" w14:textId="77777777" w:rsidR="00424C8E" w:rsidRDefault="00424C8E">
      <w:r>
        <w:continuationSeparator/>
      </w:r>
    </w:p>
    <w:p w14:paraId="1AE243B4" w14:textId="77777777" w:rsidR="00424C8E" w:rsidRDefault="00424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22CC8412" w:rsidR="009210BF" w:rsidRPr="006A25F8" w:rsidRDefault="00E01246" w:rsidP="00454BF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E01246">
            <w:rPr>
              <w:kern w:val="32"/>
              <w:sz w:val="24"/>
              <w:szCs w:val="24"/>
              <w:rtl/>
              <w:lang w:eastAsia="ar"/>
            </w:rPr>
            <w:t>قائمة تدقيق معاينة المركبة من أجل التحقق من الرعاية الصحية</w:t>
          </w:r>
        </w:p>
      </w:tc>
    </w:tr>
  </w:tbl>
  <w:p w14:paraId="0FE4F66F" w14:textId="1AF37AFC" w:rsidR="009210BF" w:rsidRPr="00AC1B11" w:rsidRDefault="003D207C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4237E31" wp14:editId="357A6CAB">
          <wp:simplePos x="0" y="0"/>
          <wp:positionH relativeFrom="leftMargin">
            <wp:align>right</wp:align>
          </wp:positionH>
          <wp:positionV relativeFrom="paragraph">
            <wp:posOffset>-505460</wp:posOffset>
          </wp:positionV>
          <wp:extent cx="547370" cy="610235"/>
          <wp:effectExtent l="0" t="0" r="0" b="0"/>
          <wp:wrapSquare wrapText="bothSides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0FAB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07C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C8E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8590B-F6BE-40E5-AA68-A7F957F1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EOM-ZM0-TP-000093-AR Rev 000</dc:subject>
  <dc:creator>Rivamonte, Leonnito (RMP)</dc:creator>
  <cp:keywords>ᅟ</cp:keywords>
  <cp:lastModifiedBy>جانسيل سالدانا  Jancil Saldhana</cp:lastModifiedBy>
  <cp:revision>46</cp:revision>
  <cp:lastPrinted>2017-10-17T10:11:00Z</cp:lastPrinted>
  <dcterms:created xsi:type="dcterms:W3CDTF">2019-12-16T06:44:00Z</dcterms:created>
  <dcterms:modified xsi:type="dcterms:W3CDTF">2021-12-22T07:59:00Z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